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BC47DB" w14:textId="77777777" w:rsidR="00640A8E" w:rsidRDefault="00640A8E" w:rsidP="00640A8E">
      <w:pPr>
        <w:shd w:val="clear" w:color="auto" w:fill="FFFFFF"/>
        <w:spacing w:after="0" w:line="240" w:lineRule="auto"/>
        <w:ind w:left="360"/>
        <w:textAlignment w:val="baseline"/>
        <w:rPr>
          <w:rFonts w:ascii="Arial" w:eastAsia="Times New Roman" w:hAnsi="Arial" w:cs="Arial"/>
          <w:color w:val="000000"/>
          <w:sz w:val="24"/>
          <w:szCs w:val="24"/>
          <w:bdr w:val="none" w:sz="0" w:space="0" w:color="auto" w:frame="1"/>
          <w:lang w:eastAsia="en-GB"/>
        </w:rPr>
      </w:pPr>
    </w:p>
    <w:p w14:paraId="131D60AC" w14:textId="77777777" w:rsidR="00640A8E" w:rsidRDefault="00640A8E" w:rsidP="00640A8E">
      <w:pPr>
        <w:shd w:val="clear" w:color="auto" w:fill="FFFFFF"/>
        <w:spacing w:after="0" w:line="240" w:lineRule="auto"/>
        <w:ind w:left="360"/>
        <w:jc w:val="center"/>
        <w:textAlignment w:val="baseline"/>
        <w:rPr>
          <w:rFonts w:ascii="Arial" w:eastAsia="Times New Roman" w:hAnsi="Arial" w:cs="Arial"/>
          <w:color w:val="000000"/>
          <w:sz w:val="24"/>
          <w:szCs w:val="24"/>
          <w:bdr w:val="none" w:sz="0" w:space="0" w:color="auto" w:frame="1"/>
          <w:lang w:eastAsia="en-GB"/>
        </w:rPr>
      </w:pPr>
      <w:r>
        <w:rPr>
          <w:rFonts w:ascii="Arial" w:eastAsia="Times New Roman" w:hAnsi="Arial" w:cs="Arial"/>
          <w:color w:val="000000"/>
          <w:sz w:val="24"/>
          <w:szCs w:val="24"/>
          <w:bdr w:val="none" w:sz="0" w:space="0" w:color="auto" w:frame="1"/>
          <w:lang w:eastAsia="en-GB"/>
        </w:rPr>
        <w:t>EQUALITY, DIVERSITY AND HUMAN RIGHTS (EDHR) POLICY</w:t>
      </w:r>
    </w:p>
    <w:p w14:paraId="69125E3B" w14:textId="77777777" w:rsidR="00B92D2F" w:rsidRDefault="00B92D2F" w:rsidP="00640A8E">
      <w:pPr>
        <w:shd w:val="clear" w:color="auto" w:fill="FFFFFF"/>
        <w:spacing w:after="0" w:line="240" w:lineRule="auto"/>
        <w:ind w:left="360"/>
        <w:jc w:val="center"/>
        <w:textAlignment w:val="baseline"/>
        <w:rPr>
          <w:rFonts w:ascii="Arial" w:eastAsia="Times New Roman" w:hAnsi="Arial" w:cs="Arial"/>
          <w:color w:val="000000"/>
          <w:sz w:val="24"/>
          <w:szCs w:val="24"/>
          <w:bdr w:val="none" w:sz="0" w:space="0" w:color="auto" w:frame="1"/>
          <w:lang w:eastAsia="en-GB"/>
        </w:rPr>
      </w:pPr>
    </w:p>
    <w:p w14:paraId="00B5DCAC" w14:textId="77777777" w:rsidR="00B92D2F" w:rsidRDefault="00B92D2F" w:rsidP="00640A8E">
      <w:pPr>
        <w:shd w:val="clear" w:color="auto" w:fill="FFFFFF"/>
        <w:spacing w:after="0" w:line="240" w:lineRule="auto"/>
        <w:ind w:left="360"/>
        <w:jc w:val="center"/>
        <w:textAlignment w:val="baseline"/>
        <w:rPr>
          <w:rFonts w:ascii="Arial" w:eastAsia="Times New Roman" w:hAnsi="Arial" w:cs="Arial"/>
          <w:color w:val="000000"/>
          <w:sz w:val="24"/>
          <w:szCs w:val="24"/>
          <w:bdr w:val="none" w:sz="0" w:space="0" w:color="auto" w:frame="1"/>
          <w:lang w:eastAsia="en-GB"/>
        </w:rPr>
      </w:pPr>
    </w:p>
    <w:p w14:paraId="5BDF60CA" w14:textId="77777777" w:rsidR="00640A8E" w:rsidRDefault="00640A8E" w:rsidP="00640A8E">
      <w:pPr>
        <w:shd w:val="clear" w:color="auto" w:fill="FFFFFF"/>
        <w:spacing w:after="0" w:line="240" w:lineRule="auto"/>
        <w:ind w:left="360"/>
        <w:textAlignment w:val="baseline"/>
        <w:rPr>
          <w:rFonts w:ascii="Arial" w:eastAsia="Times New Roman" w:hAnsi="Arial" w:cs="Arial"/>
          <w:color w:val="000000"/>
          <w:sz w:val="24"/>
          <w:szCs w:val="24"/>
          <w:bdr w:val="none" w:sz="0" w:space="0" w:color="auto" w:frame="1"/>
          <w:lang w:eastAsia="en-GB"/>
        </w:rPr>
      </w:pPr>
    </w:p>
    <w:p w14:paraId="239108F7" w14:textId="77777777" w:rsidR="00640A8E" w:rsidRPr="00640A8E" w:rsidRDefault="00640A8E" w:rsidP="00640A8E">
      <w:pPr>
        <w:rPr>
          <w:rFonts w:ascii="Calibri" w:eastAsia="Calibri" w:hAnsi="Calibri" w:cs="Times New Roman"/>
          <w:b/>
          <w:sz w:val="28"/>
          <w:szCs w:val="28"/>
        </w:rPr>
      </w:pPr>
      <w:r w:rsidRPr="00640A8E">
        <w:rPr>
          <w:rFonts w:ascii="Calibri" w:eastAsia="Calibri" w:hAnsi="Calibri" w:cs="Times New Roman"/>
          <w:b/>
          <w:sz w:val="28"/>
          <w:szCs w:val="28"/>
        </w:rPr>
        <w:t>Introduction</w:t>
      </w:r>
    </w:p>
    <w:p w14:paraId="0E11BA09" w14:textId="099BFE4D" w:rsidR="009C4BC4" w:rsidRDefault="000135AD" w:rsidP="00640A8E">
      <w:pPr>
        <w:keepNext/>
        <w:spacing w:after="0" w:line="240" w:lineRule="auto"/>
        <w:rPr>
          <w:rFonts w:ascii="Calibri" w:eastAsia="Times New Roman" w:hAnsi="Calibri" w:cs="Tahoma"/>
          <w:color w:val="000000"/>
          <w:sz w:val="24"/>
          <w:szCs w:val="24"/>
        </w:rPr>
      </w:pPr>
      <w:r>
        <w:t xml:space="preserve">As an organisation, The Island </w:t>
      </w:r>
      <w:r w:rsidR="009C4BC4">
        <w:t>Surgery is</w:t>
      </w:r>
      <w:r>
        <w:t xml:space="preserve"> committed to</w:t>
      </w:r>
      <w:r w:rsidR="009C4BC4">
        <w:t xml:space="preserve"> equality and valuing diversity and e</w:t>
      </w:r>
      <w:r>
        <w:t xml:space="preserve">nsuring </w:t>
      </w:r>
      <w:r w:rsidR="009C4BC4">
        <w:t xml:space="preserve">we </w:t>
      </w:r>
      <w:r>
        <w:t xml:space="preserve">meets its obligations to all sectors of the community in the health and social care services it commissions. Our goal is to ensure that these commitments, reinforced by our values, are embedded in our day-to-day working </w:t>
      </w:r>
      <w:r w:rsidR="009C4BC4">
        <w:t>p</w:t>
      </w:r>
      <w:r>
        <w:t>ractices with all our stakeholders, colleagues and partners</w:t>
      </w:r>
      <w:r w:rsidR="005B019F">
        <w:t xml:space="preserve"> and visitors</w:t>
      </w:r>
      <w:r>
        <w:t>. We will provide equality of opportunity and we will not tolerate discrimination on grounds of gender, gender identity, marital status, pregnancy and maternity, sexual orientation, race, colour, nationality, religion or belief, age, disability, HIV positivity, working pa</w:t>
      </w:r>
      <w:r w:rsidR="009C4BC4">
        <w:t xml:space="preserve">ttern, caring responsibilities </w:t>
      </w:r>
      <w:r>
        <w:t>or political beliefs - or any other grounds.</w:t>
      </w:r>
      <w:r w:rsidRPr="00640A8E">
        <w:rPr>
          <w:rFonts w:ascii="Calibri" w:eastAsia="Times New Roman" w:hAnsi="Calibri" w:cs="Tahoma"/>
          <w:color w:val="000000"/>
          <w:sz w:val="24"/>
          <w:szCs w:val="24"/>
          <w:lang w:val="x-none"/>
        </w:rPr>
        <w:t xml:space="preserve"> </w:t>
      </w:r>
    </w:p>
    <w:p w14:paraId="591A97A0" w14:textId="77777777" w:rsidR="009C4BC4" w:rsidRDefault="009C4BC4" w:rsidP="00640A8E">
      <w:pPr>
        <w:keepNext/>
        <w:spacing w:after="0" w:line="240" w:lineRule="auto"/>
        <w:rPr>
          <w:rFonts w:ascii="Calibri" w:eastAsia="Times New Roman" w:hAnsi="Calibri" w:cs="Tahoma"/>
          <w:color w:val="000000"/>
          <w:sz w:val="24"/>
          <w:szCs w:val="24"/>
        </w:rPr>
      </w:pPr>
    </w:p>
    <w:p w14:paraId="6C37C358" w14:textId="77777777" w:rsidR="00640A8E" w:rsidRPr="00640A8E" w:rsidRDefault="00640A8E" w:rsidP="00640A8E">
      <w:pPr>
        <w:keepNext/>
        <w:spacing w:after="0" w:line="240" w:lineRule="auto"/>
        <w:rPr>
          <w:rFonts w:ascii="Calibri" w:eastAsia="Times New Roman" w:hAnsi="Calibri" w:cs="Tahoma"/>
          <w:color w:val="000000"/>
          <w:sz w:val="24"/>
          <w:szCs w:val="24"/>
          <w:lang w:val="x-none"/>
        </w:rPr>
      </w:pPr>
      <w:r w:rsidRPr="00640A8E">
        <w:rPr>
          <w:rFonts w:ascii="Calibri" w:eastAsia="Times New Roman" w:hAnsi="Calibri" w:cs="Tahoma"/>
          <w:color w:val="000000"/>
          <w:sz w:val="24"/>
          <w:szCs w:val="24"/>
          <w:lang w:val="x-none"/>
        </w:rPr>
        <w:t xml:space="preserve">The term ‘visitor’ used below refers to anyone (including </w:t>
      </w:r>
      <w:r w:rsidRPr="00640A8E">
        <w:rPr>
          <w:rFonts w:ascii="Calibri" w:eastAsia="Times New Roman" w:hAnsi="Calibri" w:cs="Times New Roman"/>
          <w:sz w:val="24"/>
          <w:szCs w:val="24"/>
          <w:lang w:val="x-none"/>
        </w:rPr>
        <w:t>patients and their family members, other visitors and contractors</w:t>
      </w:r>
      <w:r w:rsidRPr="00640A8E">
        <w:rPr>
          <w:rFonts w:ascii="Calibri" w:eastAsia="Times New Roman" w:hAnsi="Calibri" w:cs="Tahoma"/>
          <w:color w:val="000000"/>
          <w:sz w:val="24"/>
          <w:szCs w:val="24"/>
          <w:lang w:val="x-none"/>
        </w:rPr>
        <w:t xml:space="preserve">) making use of the practice’s premises and services (except employees for whom the </w:t>
      </w:r>
      <w:r w:rsidRPr="00640A8E">
        <w:rPr>
          <w:rFonts w:ascii="Calibri" w:eastAsia="Times New Roman" w:hAnsi="Calibri" w:cs="Times New Roman"/>
          <w:sz w:val="24"/>
          <w:szCs w:val="24"/>
          <w:lang w:val="x-none"/>
        </w:rPr>
        <w:t>Equal Opportunities/Anti-Discrimination (Employment) Policy</w:t>
      </w:r>
      <w:r w:rsidRPr="00640A8E">
        <w:rPr>
          <w:rFonts w:ascii="Calibri" w:eastAsia="Times New Roman" w:hAnsi="Calibri" w:cs="Times New Roman"/>
          <w:sz w:val="24"/>
          <w:szCs w:val="24"/>
        </w:rPr>
        <w:t xml:space="preserve"> </w:t>
      </w:r>
      <w:r w:rsidRPr="00640A8E">
        <w:rPr>
          <w:rFonts w:ascii="Calibri" w:eastAsia="Times New Roman" w:hAnsi="Calibri" w:cs="Tahoma"/>
          <w:color w:val="000000"/>
          <w:sz w:val="24"/>
          <w:szCs w:val="24"/>
          <w:lang w:val="x-none"/>
        </w:rPr>
        <w:t>applies).</w:t>
      </w:r>
    </w:p>
    <w:p w14:paraId="324DE83A" w14:textId="77777777" w:rsidR="00640A8E" w:rsidRPr="00640A8E" w:rsidRDefault="00640A8E" w:rsidP="00640A8E">
      <w:pPr>
        <w:keepNext/>
        <w:spacing w:after="0" w:line="240" w:lineRule="auto"/>
        <w:rPr>
          <w:rFonts w:ascii="Calibri" w:eastAsia="Times New Roman" w:hAnsi="Calibri" w:cs="Tahoma"/>
          <w:color w:val="000000"/>
          <w:sz w:val="24"/>
          <w:szCs w:val="24"/>
          <w:lang w:val="x-none"/>
        </w:rPr>
      </w:pPr>
    </w:p>
    <w:p w14:paraId="71D2CA37" w14:textId="77777777" w:rsidR="00640A8E" w:rsidRPr="00640A8E" w:rsidRDefault="00640A8E" w:rsidP="00640A8E">
      <w:pPr>
        <w:keepNext/>
        <w:spacing w:after="0" w:line="240" w:lineRule="auto"/>
        <w:rPr>
          <w:rFonts w:ascii="Calibri" w:eastAsia="Times New Roman" w:hAnsi="Calibri" w:cs="Tahoma"/>
          <w:color w:val="000000"/>
          <w:sz w:val="24"/>
          <w:szCs w:val="24"/>
          <w:lang w:val="x-none"/>
        </w:rPr>
      </w:pPr>
      <w:r w:rsidRPr="00640A8E">
        <w:rPr>
          <w:rFonts w:ascii="Calibri" w:eastAsia="Times New Roman" w:hAnsi="Calibri" w:cs="Tahoma"/>
          <w:color w:val="000000"/>
          <w:sz w:val="24"/>
          <w:szCs w:val="24"/>
          <w:lang w:val="x-none"/>
        </w:rPr>
        <w:t>The practice:</w:t>
      </w:r>
    </w:p>
    <w:p w14:paraId="3EA49552" w14:textId="77777777" w:rsidR="00640A8E" w:rsidRPr="00640A8E" w:rsidRDefault="00640A8E" w:rsidP="00640A8E">
      <w:pPr>
        <w:keepNext/>
        <w:spacing w:after="0" w:line="240" w:lineRule="auto"/>
        <w:rPr>
          <w:rFonts w:ascii="Calibri" w:eastAsia="Times New Roman" w:hAnsi="Calibri" w:cs="Tahoma"/>
          <w:color w:val="000000"/>
          <w:sz w:val="24"/>
          <w:szCs w:val="24"/>
          <w:lang w:val="x-none"/>
        </w:rPr>
      </w:pPr>
    </w:p>
    <w:p w14:paraId="49A26622" w14:textId="4B6257D8" w:rsidR="00BE2B02" w:rsidRDefault="00BE2B02" w:rsidP="00640A8E">
      <w:pPr>
        <w:keepNext/>
        <w:numPr>
          <w:ilvl w:val="0"/>
          <w:numId w:val="1"/>
        </w:numPr>
        <w:tabs>
          <w:tab w:val="num" w:pos="567"/>
        </w:tabs>
        <w:spacing w:after="0" w:line="240" w:lineRule="auto"/>
        <w:ind w:left="567" w:hanging="207"/>
        <w:rPr>
          <w:rFonts w:ascii="Calibri" w:eastAsia="Times New Roman" w:hAnsi="Calibri" w:cs="Tahoma"/>
          <w:color w:val="000000"/>
          <w:sz w:val="24"/>
          <w:szCs w:val="24"/>
          <w:lang w:val="x-none"/>
        </w:rPr>
      </w:pPr>
      <w:r>
        <w:rPr>
          <w:rFonts w:ascii="Calibri" w:eastAsia="Times New Roman" w:hAnsi="Calibri" w:cs="Tahoma"/>
          <w:color w:val="000000"/>
          <w:sz w:val="24"/>
          <w:szCs w:val="24"/>
        </w:rPr>
        <w:t>Will undertake annual training in Equality and Diversity</w:t>
      </w:r>
    </w:p>
    <w:p w14:paraId="4B012FA6" w14:textId="510BB819" w:rsidR="00640A8E" w:rsidRPr="00640A8E" w:rsidRDefault="00640A8E" w:rsidP="00640A8E">
      <w:pPr>
        <w:keepNext/>
        <w:numPr>
          <w:ilvl w:val="0"/>
          <w:numId w:val="1"/>
        </w:numPr>
        <w:tabs>
          <w:tab w:val="num" w:pos="567"/>
        </w:tabs>
        <w:spacing w:after="0" w:line="240" w:lineRule="auto"/>
        <w:ind w:left="567" w:hanging="207"/>
        <w:rPr>
          <w:rFonts w:ascii="Calibri" w:eastAsia="Times New Roman" w:hAnsi="Calibri" w:cs="Tahoma"/>
          <w:color w:val="000000"/>
          <w:sz w:val="24"/>
          <w:szCs w:val="24"/>
          <w:lang w:val="x-none"/>
        </w:rPr>
      </w:pPr>
      <w:r w:rsidRPr="00640A8E">
        <w:rPr>
          <w:rFonts w:ascii="Calibri" w:eastAsia="Times New Roman" w:hAnsi="Calibri" w:cs="Tahoma"/>
          <w:color w:val="000000"/>
          <w:sz w:val="24"/>
          <w:szCs w:val="24"/>
          <w:lang w:val="x-none"/>
        </w:rPr>
        <w:t>will ensure that all visitors are treated with dignity and respect</w:t>
      </w:r>
    </w:p>
    <w:p w14:paraId="078DCA60" w14:textId="77777777" w:rsidR="00640A8E" w:rsidRPr="00640A8E" w:rsidRDefault="00640A8E" w:rsidP="00640A8E">
      <w:pPr>
        <w:keepNext/>
        <w:numPr>
          <w:ilvl w:val="0"/>
          <w:numId w:val="1"/>
        </w:numPr>
        <w:tabs>
          <w:tab w:val="num" w:pos="567"/>
        </w:tabs>
        <w:spacing w:after="0" w:line="240" w:lineRule="auto"/>
        <w:ind w:left="567" w:hanging="207"/>
        <w:rPr>
          <w:rFonts w:ascii="Calibri" w:eastAsia="Times New Roman" w:hAnsi="Calibri" w:cs="Tahoma"/>
          <w:color w:val="000000"/>
          <w:sz w:val="24"/>
          <w:szCs w:val="24"/>
          <w:lang w:val="x-none"/>
        </w:rPr>
      </w:pPr>
      <w:r w:rsidRPr="00640A8E">
        <w:rPr>
          <w:rFonts w:ascii="Calibri" w:eastAsia="Times New Roman" w:hAnsi="Calibri" w:cs="Tahoma"/>
          <w:color w:val="000000"/>
          <w:sz w:val="24"/>
          <w:szCs w:val="24"/>
          <w:lang w:val="x-none"/>
        </w:rPr>
        <w:t>will promote equality of opportunity between men and women</w:t>
      </w:r>
    </w:p>
    <w:p w14:paraId="65997AE5" w14:textId="77777777" w:rsidR="00640A8E" w:rsidRPr="00640A8E" w:rsidRDefault="00640A8E" w:rsidP="00640A8E">
      <w:pPr>
        <w:numPr>
          <w:ilvl w:val="0"/>
          <w:numId w:val="1"/>
        </w:numPr>
        <w:tabs>
          <w:tab w:val="num" w:pos="567"/>
        </w:tabs>
        <w:spacing w:after="0" w:line="240" w:lineRule="auto"/>
        <w:ind w:left="567" w:hanging="207"/>
        <w:rPr>
          <w:rFonts w:ascii="Calibri" w:eastAsia="Times New Roman" w:hAnsi="Calibri" w:cs="Tahoma"/>
          <w:color w:val="000000"/>
          <w:sz w:val="24"/>
          <w:szCs w:val="24"/>
          <w:lang w:val="x-none"/>
        </w:rPr>
      </w:pPr>
      <w:r w:rsidRPr="00640A8E">
        <w:rPr>
          <w:rFonts w:ascii="Calibri" w:eastAsia="Times New Roman" w:hAnsi="Calibri" w:cs="Tahoma"/>
          <w:color w:val="000000"/>
          <w:sz w:val="24"/>
          <w:szCs w:val="24"/>
          <w:lang w:val="x-none"/>
        </w:rPr>
        <w:t>will not tolerate any discrimination or perceived discrimination against, or harassment of, any visitor for any reason of age, sex, gender, marital status, pregnancy, race, ethnicity, disability, sexual orientation, religion or belief</w:t>
      </w:r>
    </w:p>
    <w:p w14:paraId="4C0CA1F8" w14:textId="77777777" w:rsidR="00640A8E" w:rsidRPr="00640A8E" w:rsidRDefault="00640A8E" w:rsidP="00640A8E">
      <w:pPr>
        <w:numPr>
          <w:ilvl w:val="0"/>
          <w:numId w:val="1"/>
        </w:numPr>
        <w:tabs>
          <w:tab w:val="num" w:pos="567"/>
        </w:tabs>
        <w:spacing w:after="0" w:line="240" w:lineRule="auto"/>
        <w:ind w:left="567" w:hanging="207"/>
        <w:rPr>
          <w:rFonts w:ascii="Calibri" w:eastAsia="Times New Roman" w:hAnsi="Calibri" w:cs="Times New Roman"/>
          <w:color w:val="000000"/>
          <w:sz w:val="24"/>
          <w:szCs w:val="24"/>
          <w:lang w:val="x-none" w:eastAsia="en-GB"/>
        </w:rPr>
      </w:pPr>
      <w:r w:rsidRPr="00640A8E">
        <w:rPr>
          <w:rFonts w:ascii="Calibri" w:eastAsia="Times New Roman" w:hAnsi="Calibri" w:cs="Times New Roman"/>
          <w:sz w:val="24"/>
          <w:szCs w:val="24"/>
          <w:lang w:val="x-none" w:eastAsia="en-GB"/>
        </w:rPr>
        <w:t xml:space="preserve">will provide the same treatment and services (including the ability to register with the practice) to any visitor irrespective of </w:t>
      </w:r>
      <w:r w:rsidRPr="00640A8E">
        <w:rPr>
          <w:rFonts w:ascii="Calibri" w:eastAsia="Times New Roman" w:hAnsi="Calibri" w:cs="Tahoma"/>
          <w:color w:val="000000"/>
          <w:sz w:val="24"/>
          <w:szCs w:val="24"/>
          <w:lang w:val="x-none"/>
        </w:rPr>
        <w:t>age, sex, marital status, pregnancy, race, ethnicity, disability, sexual orientation, medical condition, religion or belief</w:t>
      </w:r>
    </w:p>
    <w:p w14:paraId="1BAE8DD3" w14:textId="77777777" w:rsidR="00640A8E" w:rsidRPr="00640A8E" w:rsidRDefault="00640A8E" w:rsidP="00640A8E">
      <w:pPr>
        <w:spacing w:after="0" w:line="240" w:lineRule="auto"/>
        <w:rPr>
          <w:rFonts w:ascii="Calibri" w:eastAsia="Times New Roman" w:hAnsi="Calibri" w:cs="Tahoma"/>
          <w:color w:val="000000"/>
          <w:sz w:val="24"/>
          <w:szCs w:val="24"/>
          <w:lang w:val="x-none"/>
        </w:rPr>
      </w:pPr>
    </w:p>
    <w:p w14:paraId="12838C41" w14:textId="77777777" w:rsidR="00640A8E" w:rsidRPr="00640A8E" w:rsidRDefault="00640A8E" w:rsidP="00640A8E">
      <w:pPr>
        <w:spacing w:after="0" w:line="240" w:lineRule="auto"/>
        <w:rPr>
          <w:rFonts w:ascii="Calibri" w:eastAsia="Times New Roman" w:hAnsi="Calibri" w:cs="Tahoma"/>
          <w:color w:val="000000"/>
          <w:sz w:val="24"/>
          <w:szCs w:val="24"/>
          <w:lang w:val="x-none"/>
        </w:rPr>
      </w:pPr>
      <w:r w:rsidRPr="00640A8E">
        <w:rPr>
          <w:rFonts w:ascii="Calibri" w:eastAsia="Times New Roman" w:hAnsi="Calibri" w:cs="Tahoma"/>
          <w:color w:val="000000"/>
          <w:sz w:val="24"/>
          <w:szCs w:val="24"/>
          <w:lang w:val="x-none"/>
        </w:rPr>
        <w:t>The practice actively promotes and supports the ethos and the requirements of the Equality Act 2010.</w:t>
      </w:r>
    </w:p>
    <w:p w14:paraId="5BA860B8" w14:textId="77777777" w:rsidR="00640A8E" w:rsidRPr="00640A8E" w:rsidRDefault="00640A8E" w:rsidP="00640A8E">
      <w:pPr>
        <w:keepNext/>
        <w:spacing w:before="240" w:after="60" w:line="240" w:lineRule="auto"/>
        <w:outlineLvl w:val="1"/>
        <w:rPr>
          <w:rFonts w:ascii="Calibri" w:eastAsia="Calibri" w:hAnsi="Calibri" w:cs="Times New Roman"/>
          <w:b/>
          <w:sz w:val="28"/>
          <w:szCs w:val="28"/>
        </w:rPr>
      </w:pPr>
      <w:r w:rsidRPr="00640A8E">
        <w:rPr>
          <w:rFonts w:ascii="Calibri" w:eastAsia="Calibri" w:hAnsi="Calibri" w:cs="Times New Roman"/>
          <w:b/>
          <w:sz w:val="28"/>
          <w:szCs w:val="28"/>
        </w:rPr>
        <w:lastRenderedPageBreak/>
        <w:t>Applicability</w:t>
      </w:r>
    </w:p>
    <w:p w14:paraId="65935B24" w14:textId="77777777" w:rsidR="00640A8E" w:rsidRPr="00640A8E" w:rsidRDefault="00640A8E" w:rsidP="00640A8E">
      <w:pPr>
        <w:keepNext/>
        <w:spacing w:after="0" w:line="240" w:lineRule="auto"/>
        <w:rPr>
          <w:rFonts w:ascii="Calibri" w:eastAsia="Times New Roman" w:hAnsi="Calibri" w:cs="Tahoma"/>
          <w:color w:val="000000"/>
          <w:sz w:val="24"/>
          <w:szCs w:val="24"/>
          <w:lang w:val="x-none"/>
        </w:rPr>
      </w:pPr>
    </w:p>
    <w:p w14:paraId="611C6E49" w14:textId="77777777" w:rsidR="00640A8E" w:rsidRPr="00640A8E" w:rsidRDefault="00640A8E" w:rsidP="00640A8E">
      <w:pPr>
        <w:keepNext/>
        <w:spacing w:after="0" w:line="240" w:lineRule="auto"/>
        <w:rPr>
          <w:rFonts w:ascii="Calibri" w:eastAsia="Times New Roman" w:hAnsi="Calibri" w:cs="Times New Roman"/>
          <w:sz w:val="24"/>
          <w:szCs w:val="24"/>
        </w:rPr>
      </w:pPr>
      <w:r w:rsidRPr="00640A8E">
        <w:rPr>
          <w:rFonts w:ascii="Calibri" w:eastAsia="Times New Roman" w:hAnsi="Calibri" w:cs="Times New Roman"/>
          <w:sz w:val="24"/>
          <w:szCs w:val="24"/>
          <w:lang w:val="x-none"/>
        </w:rPr>
        <w:t xml:space="preserve">This policy applies to the general public, including all patients and their families, visitors and contractors as well as other agencies working out of  or on the same premises </w:t>
      </w:r>
    </w:p>
    <w:p w14:paraId="1ABFCA2D" w14:textId="77777777" w:rsidR="00640A8E" w:rsidRDefault="00640A8E" w:rsidP="00640A8E">
      <w:pPr>
        <w:keepNext/>
        <w:spacing w:after="0" w:line="240" w:lineRule="auto"/>
        <w:rPr>
          <w:rFonts w:ascii="Calibri" w:eastAsia="Times New Roman" w:hAnsi="Calibri" w:cs="Times New Roman"/>
          <w:sz w:val="24"/>
          <w:szCs w:val="24"/>
        </w:rPr>
      </w:pPr>
    </w:p>
    <w:p w14:paraId="4ABBEA27" w14:textId="77777777" w:rsidR="000B61E7" w:rsidRPr="000B61E7" w:rsidRDefault="000B61E7" w:rsidP="000B61E7">
      <w:pPr>
        <w:pStyle w:val="ListParagraph"/>
        <w:keepNext/>
        <w:numPr>
          <w:ilvl w:val="0"/>
          <w:numId w:val="3"/>
        </w:numPr>
        <w:spacing w:after="0" w:line="240" w:lineRule="auto"/>
        <w:rPr>
          <w:rFonts w:ascii="Calibri" w:eastAsia="Times New Roman" w:hAnsi="Calibri" w:cs="Times New Roman"/>
          <w:sz w:val="24"/>
          <w:szCs w:val="24"/>
        </w:rPr>
      </w:pPr>
      <w:r>
        <w:t>The Practice will ensure that it complies with the requirements of the Equality Act 2010 and that each of its staff members receives appropriate training on how to do so. The Practice lead for Equality and Diversity will co-ordinate activities and staff members to maintain up to date information and an action plan to ensure appropriate pieces of work are undertaken.</w:t>
      </w:r>
    </w:p>
    <w:p w14:paraId="2612B0C9" w14:textId="77777777" w:rsidR="000B61E7" w:rsidRPr="000B61E7" w:rsidRDefault="000B61E7" w:rsidP="000B61E7">
      <w:pPr>
        <w:pStyle w:val="ListParagraph"/>
        <w:keepNext/>
        <w:numPr>
          <w:ilvl w:val="0"/>
          <w:numId w:val="3"/>
        </w:numPr>
        <w:spacing w:after="0" w:line="240" w:lineRule="auto"/>
        <w:rPr>
          <w:rFonts w:ascii="Calibri" w:eastAsia="Times New Roman" w:hAnsi="Calibri" w:cs="Times New Roman"/>
          <w:sz w:val="24"/>
          <w:szCs w:val="24"/>
        </w:rPr>
      </w:pPr>
      <w:r>
        <w:t>The Practice will use its position within the local health and social care economy to lead the way with respect to policy, behaviour and practice for equality and diversity.</w:t>
      </w:r>
    </w:p>
    <w:p w14:paraId="3614E7F6" w14:textId="77777777" w:rsidR="000B61E7" w:rsidRPr="000B61E7" w:rsidRDefault="000B61E7" w:rsidP="000B61E7">
      <w:pPr>
        <w:pStyle w:val="ListParagraph"/>
        <w:keepNext/>
        <w:numPr>
          <w:ilvl w:val="0"/>
          <w:numId w:val="3"/>
        </w:numPr>
        <w:spacing w:after="0" w:line="240" w:lineRule="auto"/>
        <w:rPr>
          <w:rFonts w:ascii="Calibri" w:eastAsia="Times New Roman" w:hAnsi="Calibri" w:cs="Times New Roman"/>
          <w:sz w:val="24"/>
          <w:szCs w:val="24"/>
        </w:rPr>
      </w:pPr>
      <w:r>
        <w:t>The Practice expects and demands that all of its own staff and the staff employed by providers with whom it contracts, will display the appropriate behaviour to all colleagues, patients and service users, regardless of their protected characteristics. Any non-compliance with this requirement will result in disciplinary action.</w:t>
      </w:r>
    </w:p>
    <w:p w14:paraId="5B139325" w14:textId="77777777" w:rsidR="000B61E7" w:rsidRPr="000B61E7" w:rsidRDefault="000B61E7" w:rsidP="000B61E7">
      <w:pPr>
        <w:pStyle w:val="ListParagraph"/>
        <w:keepNext/>
        <w:numPr>
          <w:ilvl w:val="0"/>
          <w:numId w:val="3"/>
        </w:numPr>
        <w:spacing w:after="0" w:line="240" w:lineRule="auto"/>
        <w:rPr>
          <w:rFonts w:ascii="Calibri" w:eastAsia="Times New Roman" w:hAnsi="Calibri" w:cs="Times New Roman"/>
          <w:sz w:val="24"/>
          <w:szCs w:val="24"/>
        </w:rPr>
      </w:pPr>
      <w:r>
        <w:t>When considering any service that is being designed or redesigned, service leads and staff should consider the needs and requirements of each of the groups with protected characteristics and should ensure that they have consulted appropriately with these groups. Consideration of these requirements at the beginning of the process will mitigate any potential discrimination that may arise for a group with a protected characteristic and will contribute to the high level of quality service delivery expected by the Practice.  This may include any national or local research, data and patient feedback related to the protected characteristics that apply to the service in question</w:t>
      </w:r>
    </w:p>
    <w:p w14:paraId="1900D6EC" w14:textId="77777777" w:rsidR="000B61E7" w:rsidRPr="000B61E7" w:rsidRDefault="000B61E7" w:rsidP="000B61E7">
      <w:pPr>
        <w:pStyle w:val="ListParagraph"/>
        <w:keepNext/>
        <w:numPr>
          <w:ilvl w:val="0"/>
          <w:numId w:val="3"/>
        </w:numPr>
        <w:spacing w:after="0" w:line="240" w:lineRule="auto"/>
        <w:rPr>
          <w:rFonts w:ascii="Calibri" w:eastAsia="Times New Roman" w:hAnsi="Calibri" w:cs="Times New Roman"/>
          <w:sz w:val="24"/>
          <w:szCs w:val="24"/>
        </w:rPr>
      </w:pPr>
      <w:r>
        <w:t>When undertaking communications internally and externally and any engagement activities related to Practice initiatives, due regard will be paid to ensuring that communications are accessible in a variety of ways and that all sections of the community with protected characteristics are engaged with appropriately. This will be evidenced through robust monitoring and engagement feedback reports which will incorporate commentary on the efficacy of reaching out to relevant groups, depending on the nature of the specific engagement activity.</w:t>
      </w:r>
    </w:p>
    <w:p w14:paraId="5041E577" w14:textId="77777777" w:rsidR="000B61E7" w:rsidRPr="000B61E7" w:rsidRDefault="000B61E7" w:rsidP="000B61E7">
      <w:pPr>
        <w:pStyle w:val="ListParagraph"/>
        <w:keepNext/>
        <w:numPr>
          <w:ilvl w:val="0"/>
          <w:numId w:val="3"/>
        </w:numPr>
        <w:spacing w:after="0" w:line="240" w:lineRule="auto"/>
        <w:rPr>
          <w:rFonts w:ascii="Calibri" w:eastAsia="Times New Roman" w:hAnsi="Calibri" w:cs="Times New Roman"/>
          <w:sz w:val="24"/>
          <w:szCs w:val="24"/>
        </w:rPr>
      </w:pPr>
      <w:r>
        <w:t>Where patients and service users’ first language is not English and their level of English does not facilitate equality of access to a particular service, the policy of the Practice will engage appropriate independent interpreting and translation. Where patients and service users’ are deaf or have a hearing impairment, the policy of the Practice requires providers to engage British Sign Language interpreters where requested by the patient or carer. This is an essential part of delivering high quality, safe services to all of our population and ensuring vulnerable people are safeguarded appropriately.</w:t>
      </w:r>
    </w:p>
    <w:p w14:paraId="0B0CD5E2" w14:textId="77777777" w:rsidR="000B61E7" w:rsidRPr="000B61E7" w:rsidRDefault="000B61E7" w:rsidP="000B61E7">
      <w:pPr>
        <w:pStyle w:val="ListParagraph"/>
        <w:keepNext/>
        <w:numPr>
          <w:ilvl w:val="0"/>
          <w:numId w:val="3"/>
        </w:numPr>
        <w:spacing w:after="0" w:line="240" w:lineRule="auto"/>
        <w:rPr>
          <w:rFonts w:ascii="Calibri" w:eastAsia="Times New Roman" w:hAnsi="Calibri" w:cs="Times New Roman"/>
          <w:sz w:val="24"/>
          <w:szCs w:val="24"/>
        </w:rPr>
      </w:pPr>
      <w:r>
        <w:t>The Practice will ensure that each member of staff has the</w:t>
      </w:r>
      <w:r w:rsidR="00B92D2F">
        <w:t xml:space="preserve"> correct</w:t>
      </w:r>
      <w:r>
        <w:t xml:space="preserve"> training appropriate to their role in relation to Equality and Diversity. This training will aid staff in understanding and being respectful of the personal</w:t>
      </w:r>
      <w:r w:rsidR="00B92D2F">
        <w:t>,</w:t>
      </w:r>
      <w:r>
        <w:t xml:space="preserve"> cultural, social and religious needs of people and how these needs may relate to their care needs. </w:t>
      </w:r>
    </w:p>
    <w:p w14:paraId="0675F5CE" w14:textId="77777777" w:rsidR="000B61E7" w:rsidRPr="000B61E7" w:rsidRDefault="000B61E7" w:rsidP="000B61E7">
      <w:pPr>
        <w:pStyle w:val="ListParagraph"/>
        <w:keepNext/>
        <w:spacing w:after="0" w:line="240" w:lineRule="auto"/>
        <w:rPr>
          <w:rFonts w:ascii="Calibri" w:eastAsia="Times New Roman" w:hAnsi="Calibri" w:cs="Times New Roman"/>
          <w:sz w:val="24"/>
          <w:szCs w:val="24"/>
        </w:rPr>
      </w:pPr>
    </w:p>
    <w:p w14:paraId="766383E0" w14:textId="77777777" w:rsidR="009C4BC4" w:rsidRPr="009C4BC4" w:rsidRDefault="009C4BC4" w:rsidP="00640A8E">
      <w:pPr>
        <w:keepNext/>
        <w:spacing w:after="0" w:line="240" w:lineRule="auto"/>
        <w:rPr>
          <w:rFonts w:ascii="Calibri" w:eastAsia="Times New Roman" w:hAnsi="Calibri" w:cs="Tahoma"/>
          <w:color w:val="000000"/>
          <w:sz w:val="24"/>
          <w:szCs w:val="24"/>
        </w:rPr>
      </w:pPr>
    </w:p>
    <w:p w14:paraId="62C71060" w14:textId="77777777" w:rsidR="00640A8E" w:rsidRPr="00640A8E" w:rsidRDefault="00640A8E" w:rsidP="00640A8E">
      <w:pPr>
        <w:keepNext/>
        <w:spacing w:before="240" w:after="60" w:line="240" w:lineRule="auto"/>
        <w:outlineLvl w:val="1"/>
        <w:rPr>
          <w:rFonts w:ascii="Calibri" w:eastAsia="Calibri" w:hAnsi="Calibri" w:cs="Times New Roman"/>
          <w:b/>
          <w:sz w:val="28"/>
          <w:szCs w:val="28"/>
        </w:rPr>
      </w:pPr>
      <w:r w:rsidRPr="00640A8E">
        <w:rPr>
          <w:rFonts w:ascii="Calibri" w:eastAsia="Calibri" w:hAnsi="Calibri" w:cs="Times New Roman"/>
          <w:b/>
          <w:sz w:val="28"/>
          <w:szCs w:val="28"/>
        </w:rPr>
        <w:t>Procedure</w:t>
      </w:r>
    </w:p>
    <w:p w14:paraId="09CC1137" w14:textId="77777777" w:rsidR="00640A8E" w:rsidRPr="00640A8E" w:rsidRDefault="00640A8E" w:rsidP="00640A8E">
      <w:pPr>
        <w:spacing w:after="0" w:line="240" w:lineRule="auto"/>
        <w:rPr>
          <w:rFonts w:ascii="Calibri" w:eastAsia="Times New Roman" w:hAnsi="Calibri" w:cs="Times New Roman"/>
          <w:sz w:val="24"/>
          <w:szCs w:val="24"/>
        </w:rPr>
      </w:pPr>
    </w:p>
    <w:p w14:paraId="74BD1264" w14:textId="77777777" w:rsidR="00640A8E" w:rsidRPr="00640A8E" w:rsidRDefault="00640A8E" w:rsidP="00640A8E">
      <w:pPr>
        <w:spacing w:after="0" w:line="240" w:lineRule="auto"/>
        <w:rPr>
          <w:rFonts w:ascii="Calibri" w:eastAsia="Times New Roman" w:hAnsi="Calibri" w:cs="Times New Roman"/>
          <w:sz w:val="24"/>
          <w:szCs w:val="24"/>
        </w:rPr>
      </w:pPr>
      <w:r w:rsidRPr="00640A8E">
        <w:rPr>
          <w:rFonts w:ascii="Calibri" w:eastAsia="Times New Roman" w:hAnsi="Calibri" w:cs="Tahoma"/>
          <w:color w:val="000000"/>
          <w:sz w:val="24"/>
          <w:szCs w:val="24"/>
        </w:rPr>
        <w:t>1. Discrimination by the Practice or Visitors / patients against you</w:t>
      </w:r>
    </w:p>
    <w:p w14:paraId="14777500" w14:textId="77777777" w:rsidR="00640A8E" w:rsidRPr="00640A8E" w:rsidRDefault="00640A8E" w:rsidP="00640A8E">
      <w:pPr>
        <w:keepNext/>
        <w:numPr>
          <w:ilvl w:val="12"/>
          <w:numId w:val="0"/>
        </w:numPr>
        <w:tabs>
          <w:tab w:val="left" w:pos="360"/>
        </w:tabs>
        <w:spacing w:after="0" w:line="240" w:lineRule="auto"/>
        <w:rPr>
          <w:rFonts w:ascii="Calibri" w:eastAsia="Times New Roman" w:hAnsi="Calibri" w:cs="Tahoma"/>
          <w:color w:val="000000"/>
          <w:sz w:val="24"/>
          <w:szCs w:val="24"/>
          <w:lang w:val="x-none"/>
        </w:rPr>
      </w:pPr>
    </w:p>
    <w:p w14:paraId="45D03F6A" w14:textId="77777777" w:rsidR="00640A8E" w:rsidRPr="00640A8E" w:rsidRDefault="00640A8E" w:rsidP="00640A8E">
      <w:pPr>
        <w:keepNext/>
        <w:numPr>
          <w:ilvl w:val="12"/>
          <w:numId w:val="0"/>
        </w:numPr>
        <w:tabs>
          <w:tab w:val="left" w:pos="360"/>
        </w:tabs>
        <w:spacing w:after="0" w:line="240" w:lineRule="auto"/>
        <w:rPr>
          <w:rFonts w:ascii="Calibri" w:eastAsia="Times New Roman" w:hAnsi="Calibri" w:cs="Tahoma"/>
          <w:color w:val="000000"/>
          <w:sz w:val="24"/>
          <w:szCs w:val="24"/>
          <w:lang w:val="x-none"/>
        </w:rPr>
      </w:pPr>
      <w:r w:rsidRPr="00640A8E">
        <w:rPr>
          <w:rFonts w:ascii="Calibri" w:eastAsia="Times New Roman" w:hAnsi="Calibri" w:cs="Tahoma"/>
          <w:color w:val="000000"/>
          <w:sz w:val="24"/>
          <w:szCs w:val="24"/>
          <w:lang w:val="x-none"/>
        </w:rPr>
        <w:t>If you feel discriminated against:</w:t>
      </w:r>
    </w:p>
    <w:p w14:paraId="611DAB1C" w14:textId="77777777" w:rsidR="00640A8E" w:rsidRPr="00640A8E" w:rsidRDefault="00640A8E" w:rsidP="00640A8E">
      <w:pPr>
        <w:keepNext/>
        <w:numPr>
          <w:ilvl w:val="12"/>
          <w:numId w:val="0"/>
        </w:numPr>
        <w:tabs>
          <w:tab w:val="left" w:pos="360"/>
        </w:tabs>
        <w:spacing w:after="0" w:line="240" w:lineRule="auto"/>
        <w:rPr>
          <w:rFonts w:ascii="Calibri" w:eastAsia="Times New Roman" w:hAnsi="Calibri" w:cs="Tahoma"/>
          <w:color w:val="000000"/>
          <w:sz w:val="24"/>
          <w:szCs w:val="24"/>
          <w:lang w:val="x-none"/>
        </w:rPr>
      </w:pPr>
    </w:p>
    <w:p w14:paraId="4A3A36B3" w14:textId="77777777" w:rsidR="00640A8E" w:rsidRPr="00640A8E" w:rsidRDefault="00640A8E" w:rsidP="00640A8E">
      <w:pPr>
        <w:numPr>
          <w:ilvl w:val="0"/>
          <w:numId w:val="2"/>
        </w:numPr>
        <w:tabs>
          <w:tab w:val="num" w:pos="567"/>
        </w:tabs>
        <w:spacing w:after="0" w:line="240" w:lineRule="auto"/>
        <w:ind w:left="567" w:hanging="207"/>
        <w:rPr>
          <w:rFonts w:ascii="Calibri" w:eastAsia="Times New Roman" w:hAnsi="Calibri" w:cs="Tahoma"/>
          <w:color w:val="000000"/>
          <w:sz w:val="24"/>
          <w:szCs w:val="24"/>
        </w:rPr>
      </w:pPr>
      <w:r w:rsidRPr="00640A8E">
        <w:rPr>
          <w:rFonts w:ascii="Calibri" w:eastAsia="Times New Roman" w:hAnsi="Calibri" w:cs="Tahoma"/>
          <w:color w:val="000000"/>
          <w:sz w:val="24"/>
          <w:szCs w:val="24"/>
        </w:rPr>
        <w:t xml:space="preserve">you should bring the matter to the attention of </w:t>
      </w:r>
      <w:r w:rsidR="00B92D2F">
        <w:rPr>
          <w:rFonts w:ascii="Calibri" w:eastAsia="Times New Roman" w:hAnsi="Calibri" w:cs="Tahoma"/>
          <w:color w:val="000000"/>
          <w:sz w:val="24"/>
          <w:szCs w:val="24"/>
        </w:rPr>
        <w:t xml:space="preserve">the Practice Manager or their Assistant </w:t>
      </w:r>
    </w:p>
    <w:p w14:paraId="36514F96" w14:textId="77777777" w:rsidR="00640A8E" w:rsidRPr="00640A8E" w:rsidRDefault="00B92D2F" w:rsidP="00640A8E">
      <w:pPr>
        <w:numPr>
          <w:ilvl w:val="0"/>
          <w:numId w:val="2"/>
        </w:numPr>
        <w:tabs>
          <w:tab w:val="num" w:pos="567"/>
        </w:tabs>
        <w:spacing w:after="0" w:line="240" w:lineRule="auto"/>
        <w:ind w:left="567" w:hanging="207"/>
        <w:rPr>
          <w:rFonts w:ascii="Calibri" w:eastAsia="Times New Roman" w:hAnsi="Calibri" w:cs="Tahoma"/>
          <w:color w:val="000000"/>
          <w:sz w:val="24"/>
          <w:szCs w:val="24"/>
        </w:rPr>
      </w:pPr>
      <w:r>
        <w:rPr>
          <w:rFonts w:ascii="Calibri" w:eastAsia="Times New Roman" w:hAnsi="Calibri" w:cs="Tahoma"/>
          <w:i/>
          <w:color w:val="000000"/>
          <w:sz w:val="24"/>
          <w:szCs w:val="24"/>
        </w:rPr>
        <w:t>The Practice Manager or their Assistant</w:t>
      </w:r>
      <w:r w:rsidR="00640A8E" w:rsidRPr="00640A8E">
        <w:rPr>
          <w:rFonts w:ascii="Calibri" w:eastAsia="Times New Roman" w:hAnsi="Calibri" w:cs="Tahoma"/>
          <w:i/>
          <w:color w:val="000000"/>
          <w:sz w:val="24"/>
          <w:szCs w:val="24"/>
        </w:rPr>
        <w:t xml:space="preserve"> </w:t>
      </w:r>
      <w:r w:rsidR="00640A8E" w:rsidRPr="00640A8E">
        <w:rPr>
          <w:rFonts w:ascii="Calibri" w:eastAsia="Times New Roman" w:hAnsi="Calibri" w:cs="Tahoma"/>
          <w:color w:val="000000"/>
          <w:sz w:val="24"/>
          <w:szCs w:val="24"/>
        </w:rPr>
        <w:t xml:space="preserve">will investigate the matter thoroughly and confidentially within </w:t>
      </w:r>
      <w:r>
        <w:rPr>
          <w:rFonts w:ascii="Calibri" w:eastAsia="Times New Roman" w:hAnsi="Calibri" w:cs="Tahoma"/>
          <w:i/>
          <w:iCs/>
          <w:color w:val="000000"/>
          <w:sz w:val="24"/>
          <w:szCs w:val="24"/>
        </w:rPr>
        <w:t>5  working days</w:t>
      </w:r>
    </w:p>
    <w:p w14:paraId="6867102C" w14:textId="77777777" w:rsidR="00640A8E" w:rsidRPr="00640A8E" w:rsidRDefault="00B92D2F" w:rsidP="00640A8E">
      <w:pPr>
        <w:numPr>
          <w:ilvl w:val="0"/>
          <w:numId w:val="2"/>
        </w:numPr>
        <w:tabs>
          <w:tab w:val="num" w:pos="567"/>
        </w:tabs>
        <w:spacing w:after="0" w:line="240" w:lineRule="auto"/>
        <w:ind w:left="567" w:hanging="207"/>
        <w:rPr>
          <w:rFonts w:ascii="Calibri" w:eastAsia="Times New Roman" w:hAnsi="Calibri" w:cs="Tahoma"/>
          <w:color w:val="000000"/>
          <w:sz w:val="24"/>
          <w:szCs w:val="24"/>
        </w:rPr>
      </w:pPr>
      <w:r>
        <w:rPr>
          <w:rFonts w:ascii="Calibri" w:eastAsia="Times New Roman" w:hAnsi="Calibri" w:cs="Tahoma"/>
          <w:i/>
          <w:color w:val="000000"/>
          <w:sz w:val="24"/>
          <w:szCs w:val="24"/>
        </w:rPr>
        <w:t xml:space="preserve">The Practice Manager or their Assistant </w:t>
      </w:r>
      <w:r w:rsidR="00640A8E" w:rsidRPr="00640A8E">
        <w:rPr>
          <w:rFonts w:ascii="Calibri" w:eastAsia="Times New Roman" w:hAnsi="Calibri" w:cs="Tahoma"/>
          <w:color w:val="000000"/>
          <w:sz w:val="24"/>
          <w:szCs w:val="24"/>
        </w:rPr>
        <w:t xml:space="preserve">will establish the facts and decide whether discrimination has taken place and advise you of the outcome of the investigation within </w:t>
      </w:r>
      <w:r>
        <w:rPr>
          <w:rFonts w:ascii="Calibri" w:eastAsia="Times New Roman" w:hAnsi="Calibri" w:cs="Tahoma"/>
          <w:i/>
          <w:iCs/>
          <w:color w:val="000000"/>
          <w:sz w:val="24"/>
          <w:szCs w:val="24"/>
        </w:rPr>
        <w:t>10 working days</w:t>
      </w:r>
    </w:p>
    <w:p w14:paraId="54E44A4A" w14:textId="77777777" w:rsidR="00640A8E" w:rsidRPr="00640A8E" w:rsidRDefault="00640A8E" w:rsidP="00640A8E">
      <w:pPr>
        <w:spacing w:after="0" w:line="240" w:lineRule="auto"/>
        <w:rPr>
          <w:rFonts w:ascii="Calibri" w:eastAsia="Times New Roman" w:hAnsi="Calibri" w:cs="Tahoma"/>
          <w:color w:val="000000"/>
          <w:sz w:val="24"/>
          <w:szCs w:val="24"/>
          <w:vertAlign w:val="superscript"/>
        </w:rPr>
      </w:pPr>
      <w:r w:rsidRPr="00640A8E">
        <w:rPr>
          <w:rFonts w:ascii="Calibri" w:eastAsia="Times New Roman" w:hAnsi="Calibri" w:cs="Tahoma"/>
          <w:color w:val="000000"/>
          <w:sz w:val="24"/>
          <w:szCs w:val="24"/>
        </w:rPr>
        <w:t xml:space="preserve">If you are not satisfied with the outcome, you should raise a formal complaint through the Practice’s Complaints Procedure </w:t>
      </w:r>
      <w:r w:rsidRPr="00640A8E">
        <w:rPr>
          <w:rFonts w:ascii="Calibri" w:eastAsia="Times New Roman" w:hAnsi="Calibri" w:cs="Tahoma"/>
          <w:color w:val="000000"/>
          <w:sz w:val="24"/>
          <w:szCs w:val="24"/>
          <w:vertAlign w:val="superscript"/>
        </w:rPr>
        <w:t>[*]</w:t>
      </w:r>
    </w:p>
    <w:p w14:paraId="5502DEB6" w14:textId="77777777" w:rsidR="00640A8E" w:rsidRPr="00640A8E" w:rsidRDefault="00640A8E" w:rsidP="00640A8E">
      <w:pPr>
        <w:spacing w:after="0" w:line="240" w:lineRule="auto"/>
        <w:rPr>
          <w:rFonts w:ascii="Calibri" w:eastAsia="Times New Roman" w:hAnsi="Calibri" w:cs="Tahoma"/>
          <w:color w:val="000000"/>
          <w:sz w:val="24"/>
          <w:szCs w:val="24"/>
          <w:vertAlign w:val="superscript"/>
        </w:rPr>
      </w:pPr>
    </w:p>
    <w:p w14:paraId="6A26C02F" w14:textId="77777777" w:rsidR="00640A8E" w:rsidRPr="00640A8E" w:rsidRDefault="00640A8E" w:rsidP="00640A8E">
      <w:pPr>
        <w:spacing w:after="0" w:line="240" w:lineRule="auto"/>
        <w:rPr>
          <w:rFonts w:ascii="Calibri" w:eastAsia="Times New Roman" w:hAnsi="Calibri" w:cs="Tahoma"/>
          <w:color w:val="000000"/>
          <w:sz w:val="24"/>
          <w:szCs w:val="24"/>
        </w:rPr>
      </w:pPr>
      <w:r w:rsidRPr="00640A8E">
        <w:rPr>
          <w:rFonts w:ascii="Calibri" w:eastAsia="Times New Roman" w:hAnsi="Calibri" w:cs="Tahoma"/>
          <w:color w:val="000000"/>
          <w:sz w:val="24"/>
          <w:szCs w:val="24"/>
        </w:rPr>
        <w:t>2. Discrimination against the Practice’s staff</w:t>
      </w:r>
    </w:p>
    <w:p w14:paraId="6BA7C3A2" w14:textId="77777777" w:rsidR="00640A8E" w:rsidRPr="00640A8E" w:rsidRDefault="00640A8E" w:rsidP="00640A8E">
      <w:pPr>
        <w:spacing w:after="0" w:line="240" w:lineRule="auto"/>
        <w:rPr>
          <w:rFonts w:ascii="Calibri" w:eastAsia="Times New Roman" w:hAnsi="Calibri" w:cs="Tahoma"/>
          <w:color w:val="000000"/>
          <w:sz w:val="24"/>
          <w:szCs w:val="24"/>
        </w:rPr>
      </w:pPr>
    </w:p>
    <w:p w14:paraId="1E0901A9" w14:textId="051504A5" w:rsidR="00640A8E" w:rsidRDefault="00640A8E" w:rsidP="00640A8E">
      <w:pPr>
        <w:spacing w:after="0" w:line="240" w:lineRule="auto"/>
        <w:rPr>
          <w:rFonts w:ascii="Calibri" w:eastAsia="Times New Roman" w:hAnsi="Calibri" w:cs="Tahoma"/>
          <w:color w:val="000000"/>
          <w:sz w:val="24"/>
          <w:szCs w:val="24"/>
        </w:rPr>
      </w:pPr>
      <w:r w:rsidRPr="00640A8E">
        <w:rPr>
          <w:rFonts w:ascii="Calibri" w:eastAsia="Times New Roman" w:hAnsi="Calibri" w:cs="Tahoma"/>
          <w:color w:val="000000"/>
          <w:sz w:val="24"/>
          <w:szCs w:val="24"/>
        </w:rPr>
        <w:t>The Practice will not tolerate any form of discrimination or harassment of our staff by any visitor. Any visitor, who expresses any form of discrimination against, or harassment of, any member of our staff, will be required to leave the practice’s premises forthwith. If the visitor is a patient, he/she</w:t>
      </w:r>
      <w:r w:rsidR="00BE2B02">
        <w:rPr>
          <w:rFonts w:ascii="Calibri" w:eastAsia="Times New Roman" w:hAnsi="Calibri" w:cs="Tahoma"/>
          <w:color w:val="000000"/>
          <w:sz w:val="24"/>
          <w:szCs w:val="24"/>
        </w:rPr>
        <w:t xml:space="preserve">/ they </w:t>
      </w:r>
      <w:r w:rsidRPr="00640A8E">
        <w:rPr>
          <w:rFonts w:ascii="Calibri" w:eastAsia="Times New Roman" w:hAnsi="Calibri" w:cs="Tahoma"/>
          <w:color w:val="000000"/>
          <w:sz w:val="24"/>
          <w:szCs w:val="24"/>
        </w:rPr>
        <w:t>may be removed from the practice’s list if any such behaviour occurs on more than one occasion.</w:t>
      </w:r>
    </w:p>
    <w:p w14:paraId="5A9161C5" w14:textId="77777777" w:rsidR="002B2F83" w:rsidRDefault="002B2F83" w:rsidP="00640A8E">
      <w:pPr>
        <w:spacing w:after="0" w:line="240" w:lineRule="auto"/>
        <w:rPr>
          <w:rFonts w:ascii="Calibri" w:eastAsia="Times New Roman" w:hAnsi="Calibri" w:cs="Tahoma"/>
          <w:color w:val="000000"/>
          <w:sz w:val="24"/>
          <w:szCs w:val="24"/>
        </w:rPr>
      </w:pPr>
    </w:p>
    <w:p w14:paraId="1660B74F" w14:textId="77777777" w:rsidR="002B2F83" w:rsidRPr="00640A8E" w:rsidRDefault="002B2F83" w:rsidP="00640A8E">
      <w:pPr>
        <w:spacing w:after="0" w:line="240" w:lineRule="auto"/>
        <w:rPr>
          <w:rFonts w:ascii="Calibri" w:eastAsia="Times New Roman" w:hAnsi="Calibri" w:cs="Tahoma"/>
          <w:color w:val="000000"/>
          <w:sz w:val="24"/>
          <w:szCs w:val="24"/>
        </w:rPr>
      </w:pPr>
    </w:p>
    <w:p w14:paraId="17650507" w14:textId="77777777" w:rsidR="00640A8E" w:rsidRPr="00640A8E" w:rsidRDefault="00640A8E" w:rsidP="00640A8E">
      <w:pPr>
        <w:spacing w:after="0" w:line="240" w:lineRule="auto"/>
        <w:rPr>
          <w:rFonts w:ascii="Calibri" w:eastAsia="Times New Roman" w:hAnsi="Calibri" w:cs="Tahoma"/>
          <w:color w:val="000000"/>
          <w:sz w:val="24"/>
          <w:szCs w:val="24"/>
          <w:vertAlign w:val="superscript"/>
        </w:rPr>
      </w:pPr>
    </w:p>
    <w:p w14:paraId="197EA148" w14:textId="220FBE7E" w:rsidR="00103E83" w:rsidRDefault="00BE2B02">
      <w:r>
        <w:t xml:space="preserve">This policy will be reviewed on an annual basis by the practice manager. </w:t>
      </w:r>
    </w:p>
    <w:sectPr w:rsidR="00103E83" w:rsidSect="00D5048F">
      <w:headerReference w:type="even" r:id="rId8"/>
      <w:headerReference w:type="default" r:id="rId9"/>
      <w:footerReference w:type="even" r:id="rId10"/>
      <w:footerReference w:type="default" r:id="rId11"/>
      <w:headerReference w:type="first" r:id="rId12"/>
      <w:footerReference w:type="first" r:id="rId13"/>
      <w:pgSz w:w="11906" w:h="16838" w:code="9"/>
      <w:pgMar w:top="1559" w:right="1134" w:bottom="1418" w:left="1134" w:header="709" w:footer="3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1C9955" w14:textId="77777777" w:rsidR="005C4AE9" w:rsidRDefault="00DD7666">
      <w:pPr>
        <w:spacing w:after="0" w:line="240" w:lineRule="auto"/>
      </w:pPr>
      <w:r>
        <w:separator/>
      </w:r>
    </w:p>
  </w:endnote>
  <w:endnote w:type="continuationSeparator" w:id="0">
    <w:p w14:paraId="6FDC3220" w14:textId="77777777" w:rsidR="005C4AE9" w:rsidRDefault="00DD76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A9876" w14:textId="77777777" w:rsidR="00FF081A" w:rsidRDefault="00FF08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D65A8" w14:textId="5A4B56BA" w:rsidR="00B12E8A" w:rsidRPr="00553AB4" w:rsidRDefault="00C53D32" w:rsidP="009C4BC4">
    <w:pPr>
      <w:pStyle w:val="Footer"/>
      <w:rPr>
        <w:rFonts w:ascii="Arial" w:hAnsi="Arial" w:cs="Arial"/>
        <w:b/>
        <w:sz w:val="16"/>
        <w:szCs w:val="16"/>
      </w:rPr>
    </w:pPr>
    <w:r w:rsidRPr="00553AB4">
      <w:rPr>
        <w:rFonts w:cs="Tahoma"/>
        <w:b/>
        <w:bCs/>
        <w:sz w:val="16"/>
        <w:szCs w:val="16"/>
      </w:rPr>
      <w:t xml:space="preserve">Page </w:t>
    </w:r>
    <w:r w:rsidRPr="00553AB4">
      <w:rPr>
        <w:rFonts w:cs="Tahoma"/>
        <w:b/>
        <w:bCs/>
        <w:sz w:val="16"/>
        <w:szCs w:val="16"/>
      </w:rPr>
      <w:fldChar w:fldCharType="begin"/>
    </w:r>
    <w:r w:rsidRPr="00553AB4">
      <w:rPr>
        <w:rFonts w:cs="Tahoma"/>
        <w:b/>
        <w:bCs/>
        <w:sz w:val="16"/>
        <w:szCs w:val="16"/>
      </w:rPr>
      <w:instrText xml:space="preserve"> PAGE </w:instrText>
    </w:r>
    <w:r w:rsidRPr="00553AB4">
      <w:rPr>
        <w:rFonts w:cs="Tahoma"/>
        <w:b/>
        <w:bCs/>
        <w:sz w:val="16"/>
        <w:szCs w:val="16"/>
      </w:rPr>
      <w:fldChar w:fldCharType="separate"/>
    </w:r>
    <w:r w:rsidR="009C4BC4">
      <w:rPr>
        <w:rFonts w:cs="Tahoma"/>
        <w:b/>
        <w:bCs/>
        <w:noProof/>
        <w:sz w:val="16"/>
        <w:szCs w:val="16"/>
      </w:rPr>
      <w:t>1</w:t>
    </w:r>
    <w:r w:rsidRPr="00553AB4">
      <w:rPr>
        <w:rFonts w:cs="Tahoma"/>
        <w:b/>
        <w:bCs/>
        <w:sz w:val="16"/>
        <w:szCs w:val="16"/>
      </w:rPr>
      <w:fldChar w:fldCharType="end"/>
    </w:r>
    <w:r w:rsidRPr="00553AB4">
      <w:rPr>
        <w:rFonts w:cs="Tahoma"/>
        <w:b/>
        <w:bCs/>
        <w:sz w:val="16"/>
        <w:szCs w:val="16"/>
      </w:rPr>
      <w:t xml:space="preserve"> of </w:t>
    </w:r>
    <w:r w:rsidRPr="00553AB4">
      <w:rPr>
        <w:rFonts w:cs="Tahoma"/>
        <w:b/>
        <w:bCs/>
        <w:sz w:val="16"/>
        <w:szCs w:val="16"/>
      </w:rPr>
      <w:fldChar w:fldCharType="begin"/>
    </w:r>
    <w:r w:rsidRPr="00553AB4">
      <w:rPr>
        <w:rFonts w:cs="Tahoma"/>
        <w:b/>
        <w:bCs/>
        <w:sz w:val="16"/>
        <w:szCs w:val="16"/>
      </w:rPr>
      <w:instrText xml:space="preserve"> NUMPAGES </w:instrText>
    </w:r>
    <w:r w:rsidRPr="00553AB4">
      <w:rPr>
        <w:rFonts w:cs="Tahoma"/>
        <w:b/>
        <w:bCs/>
        <w:sz w:val="16"/>
        <w:szCs w:val="16"/>
      </w:rPr>
      <w:fldChar w:fldCharType="separate"/>
    </w:r>
    <w:r w:rsidR="009C4BC4">
      <w:rPr>
        <w:rFonts w:cs="Tahoma"/>
        <w:b/>
        <w:bCs/>
        <w:noProof/>
        <w:sz w:val="16"/>
        <w:szCs w:val="16"/>
      </w:rPr>
      <w:t>3</w:t>
    </w:r>
    <w:r w:rsidRPr="00553AB4">
      <w:rPr>
        <w:rFonts w:cs="Tahoma"/>
        <w:b/>
        <w:bCs/>
        <w:sz w:val="16"/>
        <w:szCs w:val="16"/>
      </w:rPr>
      <w:fldChar w:fldCharType="end"/>
    </w:r>
    <w:r w:rsidR="009C4BC4">
      <w:rPr>
        <w:rFonts w:cs="Tahoma"/>
        <w:b/>
        <w:bCs/>
        <w:sz w:val="16"/>
        <w:szCs w:val="16"/>
      </w:rPr>
      <w:tab/>
    </w:r>
    <w:r w:rsidR="009C4BC4">
      <w:rPr>
        <w:rFonts w:cs="Tahoma"/>
        <w:b/>
        <w:bCs/>
        <w:sz w:val="16"/>
        <w:szCs w:val="16"/>
      </w:rPr>
      <w:tab/>
      <w:t>Reviewed July 202</w:t>
    </w:r>
    <w:r w:rsidR="00FF081A">
      <w:rPr>
        <w:rFonts w:cs="Tahoma"/>
        <w:b/>
        <w:bCs/>
        <w:sz w:val="16"/>
        <w:szCs w:val="16"/>
      </w:rPr>
      <w:t>2</w:t>
    </w:r>
    <w:r w:rsidR="009C4BC4">
      <w:rPr>
        <w:rFonts w:cs="Tahoma"/>
        <w:b/>
        <w:bCs/>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4004B" w14:textId="77777777" w:rsidR="00FF081A" w:rsidRDefault="00FF08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FE026D" w14:textId="77777777" w:rsidR="005C4AE9" w:rsidRDefault="00DD7666">
      <w:pPr>
        <w:spacing w:after="0" w:line="240" w:lineRule="auto"/>
      </w:pPr>
      <w:r>
        <w:separator/>
      </w:r>
    </w:p>
  </w:footnote>
  <w:footnote w:type="continuationSeparator" w:id="0">
    <w:p w14:paraId="45C0F4B3" w14:textId="77777777" w:rsidR="005C4AE9" w:rsidRDefault="00DD76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D953E" w14:textId="77777777" w:rsidR="00FF081A" w:rsidRDefault="00FF08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D6F48" w14:textId="77777777" w:rsidR="00B92D2F" w:rsidRDefault="00B92D2F" w:rsidP="00B92D2F">
    <w:pPr>
      <w:pStyle w:val="Header"/>
      <w:tabs>
        <w:tab w:val="clear" w:pos="4513"/>
        <w:tab w:val="clear" w:pos="9026"/>
        <w:tab w:val="left" w:pos="2520"/>
      </w:tabs>
    </w:pPr>
    <w:r>
      <w:object w:dxaOrig="9027" w:dyaOrig="1118" w14:anchorId="4B58EE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5pt;height:56.25pt">
          <v:imagedata r:id="rId1" o:title=""/>
        </v:shape>
        <o:OLEObject Type="Embed" ProgID="CorelDRAW.Graphic.10" ShapeID="_x0000_i1025" DrawAspect="Content" ObjectID="_1719988811" r:id="rId2"/>
      </w:object>
    </w:r>
  </w:p>
  <w:p w14:paraId="5DB2F74B" w14:textId="77777777" w:rsidR="00B12E8A" w:rsidRPr="00553AB4" w:rsidRDefault="005B019F" w:rsidP="00553A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0372C" w14:textId="77777777" w:rsidR="00FF081A" w:rsidRDefault="00FF081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164975"/>
    <w:multiLevelType w:val="hybridMultilevel"/>
    <w:tmpl w:val="9D229B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F964307"/>
    <w:multiLevelType w:val="hybridMultilevel"/>
    <w:tmpl w:val="494C4334"/>
    <w:lvl w:ilvl="0" w:tplc="38AA58BA">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0A14AFB"/>
    <w:multiLevelType w:val="hybridMultilevel"/>
    <w:tmpl w:val="640E0928"/>
    <w:lvl w:ilvl="0" w:tplc="38AA58BA">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40A8E"/>
    <w:rsid w:val="000135AD"/>
    <w:rsid w:val="000B61E7"/>
    <w:rsid w:val="002B2F83"/>
    <w:rsid w:val="003D04DA"/>
    <w:rsid w:val="005B019F"/>
    <w:rsid w:val="005C4AE9"/>
    <w:rsid w:val="00640A8E"/>
    <w:rsid w:val="009C4BC4"/>
    <w:rsid w:val="00AB0592"/>
    <w:rsid w:val="00B92D2F"/>
    <w:rsid w:val="00BE2B02"/>
    <w:rsid w:val="00C53D32"/>
    <w:rsid w:val="00DD7666"/>
    <w:rsid w:val="00FF08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95EC05"/>
  <w15:docId w15:val="{91C26B93-9CC7-4A73-A0EC-E0E12DCBE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0A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0A8E"/>
  </w:style>
  <w:style w:type="paragraph" w:styleId="Footer">
    <w:name w:val="footer"/>
    <w:basedOn w:val="Normal"/>
    <w:link w:val="FooterChar"/>
    <w:uiPriority w:val="99"/>
    <w:unhideWhenUsed/>
    <w:rsid w:val="00640A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0A8E"/>
  </w:style>
  <w:style w:type="paragraph" w:styleId="BalloonText">
    <w:name w:val="Balloon Text"/>
    <w:basedOn w:val="Normal"/>
    <w:link w:val="BalloonTextChar"/>
    <w:uiPriority w:val="99"/>
    <w:semiHidden/>
    <w:unhideWhenUsed/>
    <w:rsid w:val="00640A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0A8E"/>
    <w:rPr>
      <w:rFonts w:ascii="Tahoma" w:hAnsi="Tahoma" w:cs="Tahoma"/>
      <w:sz w:val="16"/>
      <w:szCs w:val="16"/>
    </w:rPr>
  </w:style>
  <w:style w:type="paragraph" w:styleId="ListParagraph">
    <w:name w:val="List Paragraph"/>
    <w:basedOn w:val="Normal"/>
    <w:uiPriority w:val="34"/>
    <w:qFormat/>
    <w:rsid w:val="000B61E7"/>
    <w:pPr>
      <w:ind w:left="720"/>
      <w:contextualSpacing/>
    </w:pPr>
  </w:style>
  <w:style w:type="paragraph" w:styleId="FootnoteText">
    <w:name w:val="footnote text"/>
    <w:basedOn w:val="Normal"/>
    <w:link w:val="FootnoteTextChar"/>
    <w:uiPriority w:val="99"/>
    <w:semiHidden/>
    <w:unhideWhenUsed/>
    <w:rsid w:val="00B92D2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92D2F"/>
    <w:rPr>
      <w:sz w:val="20"/>
      <w:szCs w:val="20"/>
    </w:rPr>
  </w:style>
  <w:style w:type="character" w:styleId="FootnoteReference">
    <w:name w:val="footnote reference"/>
    <w:basedOn w:val="DefaultParagraphFont"/>
    <w:uiPriority w:val="99"/>
    <w:semiHidden/>
    <w:unhideWhenUsed/>
    <w:rsid w:val="00B92D2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721354-4D94-4E44-B722-755657964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937</Words>
  <Characters>5342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NHS Essex CSU</Company>
  <LinksUpToDate>false</LinksUpToDate>
  <CharactersWithSpaces>6267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 Jackie (99F) F81739 - Island Surgery</dc:creator>
  <cp:lastModifiedBy>BAULCH, Samantha (NHS MID AND SOUTH ESSEX ICB - 99F)</cp:lastModifiedBy>
  <cp:revision>5</cp:revision>
  <dcterms:created xsi:type="dcterms:W3CDTF">2021-07-13T13:35:00Z</dcterms:created>
  <dcterms:modified xsi:type="dcterms:W3CDTF">2022-07-22T08:54:00Z</dcterms:modified>
</cp:coreProperties>
</file>